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hd w:fill="D9D9D9" w:val="clear"/>
      </w:pPr>
      <w:r>
        <w:rPr>
          <w:b/>
          <w:sz w:val="32"/>
          <w:szCs w:val="32"/>
        </w:rPr>
        <w:t>Seminario informativo sobre el DELE (Diploma de Español como Lengua Extranjera) y el AVE (Aula Virtual de Español) y los</w:t>
      </w:r>
      <w:bookmarkStart w:id="0" w:name="_GoBack"/>
      <w:bookmarkEnd w:id="0"/>
      <w:r>
        <w:rPr>
          <w:b/>
          <w:sz w:val="32"/>
          <w:szCs w:val="32"/>
        </w:rPr>
        <w:t xml:space="preserve"> seis niveles de referencia: actualización.</w:t>
      </w:r>
    </w:p>
    <w:p>
      <w:pPr>
        <w:pStyle w:val="style0"/>
        <w:jc w:val="center"/>
      </w:pPr>
      <w:r>
        <w:rPr>
          <w:b/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24"/>
        <w:numPr>
          <w:ilvl w:val="0"/>
          <w:numId w:val="1"/>
        </w:numPr>
        <w:jc w:val="both"/>
      </w:pPr>
      <w:r>
        <w:rPr>
          <w:sz w:val="28"/>
          <w:szCs w:val="28"/>
        </w:rPr>
        <w:t>Descripción general del Diploma de Español como Lengua Extranjera</w:t>
      </w:r>
    </w:p>
    <w:p>
      <w:pPr>
        <w:pStyle w:val="style24"/>
        <w:numPr>
          <w:ilvl w:val="0"/>
          <w:numId w:val="1"/>
        </w:numPr>
        <w:jc w:val="both"/>
      </w:pPr>
      <w:r>
        <w:rPr>
          <w:sz w:val="28"/>
          <w:szCs w:val="28"/>
        </w:rPr>
        <w:t>Ámbito de aplicación del DELE</w:t>
      </w:r>
    </w:p>
    <w:p>
      <w:pPr>
        <w:pStyle w:val="style24"/>
        <w:numPr>
          <w:ilvl w:val="0"/>
          <w:numId w:val="1"/>
        </w:numPr>
        <w:jc w:val="both"/>
      </w:pPr>
      <w:r>
        <w:rPr>
          <w:sz w:val="28"/>
          <w:szCs w:val="28"/>
        </w:rPr>
        <w:t>Referencia de los DELE al Marco Común de Referencia Europeo y al Plan Curricular del Instituto Cervantes</w:t>
      </w:r>
    </w:p>
    <w:p>
      <w:pPr>
        <w:pStyle w:val="style24"/>
        <w:numPr>
          <w:ilvl w:val="0"/>
          <w:numId w:val="1"/>
        </w:numPr>
        <w:jc w:val="both"/>
      </w:pPr>
      <w:r>
        <w:rPr>
          <w:sz w:val="28"/>
          <w:szCs w:val="28"/>
        </w:rPr>
        <w:t>Evolución de los diplomas de español</w:t>
      </w:r>
    </w:p>
    <w:p>
      <w:pPr>
        <w:pStyle w:val="style24"/>
        <w:numPr>
          <w:ilvl w:val="0"/>
          <w:numId w:val="1"/>
        </w:numPr>
        <w:jc w:val="both"/>
      </w:pPr>
      <w:r>
        <w:rPr>
          <w:sz w:val="28"/>
          <w:szCs w:val="28"/>
        </w:rPr>
        <w:t>El DELE en cifras</w:t>
      </w:r>
    </w:p>
    <w:p>
      <w:pPr>
        <w:pStyle w:val="style24"/>
        <w:numPr>
          <w:ilvl w:val="0"/>
          <w:numId w:val="1"/>
        </w:numPr>
        <w:jc w:val="both"/>
      </w:pPr>
      <w:r>
        <w:rPr>
          <w:sz w:val="28"/>
          <w:szCs w:val="28"/>
        </w:rPr>
        <w:t>Valor añadido del DELE</w:t>
      </w:r>
    </w:p>
    <w:p>
      <w:pPr>
        <w:pStyle w:val="style24"/>
        <w:numPr>
          <w:ilvl w:val="0"/>
          <w:numId w:val="1"/>
        </w:numPr>
        <w:jc w:val="both"/>
      </w:pPr>
      <w:r>
        <w:rPr>
          <w:sz w:val="28"/>
          <w:szCs w:val="28"/>
        </w:rPr>
        <w:t>Descripción de los seis niveles</w:t>
      </w:r>
    </w:p>
    <w:p>
      <w:pPr>
        <w:pStyle w:val="style24"/>
        <w:numPr>
          <w:ilvl w:val="0"/>
          <w:numId w:val="1"/>
        </w:numPr>
        <w:jc w:val="both"/>
      </w:pPr>
      <w:r>
        <w:rPr>
          <w:sz w:val="28"/>
          <w:szCs w:val="28"/>
        </w:rPr>
        <w:t>Convocatorias DELE 2013</w:t>
      </w:r>
    </w:p>
    <w:p>
      <w:pPr>
        <w:pStyle w:val="style24"/>
        <w:numPr>
          <w:ilvl w:val="0"/>
          <w:numId w:val="1"/>
        </w:numPr>
        <w:jc w:val="both"/>
      </w:pPr>
      <w:r>
        <w:rPr>
          <w:sz w:val="28"/>
          <w:szCs w:val="28"/>
        </w:rPr>
        <w:t>Procedimiento de inscripción</w:t>
      </w:r>
    </w:p>
    <w:p>
      <w:pPr>
        <w:pStyle w:val="style24"/>
        <w:numPr>
          <w:ilvl w:val="0"/>
          <w:numId w:val="1"/>
        </w:numPr>
        <w:jc w:val="both"/>
      </w:pPr>
      <w:r>
        <w:rPr>
          <w:sz w:val="28"/>
          <w:szCs w:val="28"/>
        </w:rPr>
        <w:t>Integración de todos los niveles en la administración de la convocatoria</w:t>
      </w:r>
    </w:p>
    <w:p>
      <w:pPr>
        <w:pStyle w:val="style24"/>
        <w:numPr>
          <w:ilvl w:val="0"/>
          <w:numId w:val="1"/>
        </w:numPr>
        <w:jc w:val="both"/>
      </w:pPr>
      <w:r>
        <w:rPr>
          <w:sz w:val="28"/>
          <w:szCs w:val="28"/>
        </w:rPr>
        <w:t>Calificación y resultado de las pruebas</w:t>
      </w:r>
    </w:p>
    <w:p>
      <w:pPr>
        <w:pStyle w:val="style24"/>
        <w:numPr>
          <w:ilvl w:val="0"/>
          <w:numId w:val="1"/>
        </w:numPr>
        <w:jc w:val="both"/>
      </w:pPr>
      <w:r>
        <w:rPr>
          <w:sz w:val="28"/>
          <w:szCs w:val="28"/>
        </w:rPr>
        <w:t>Reclamaciones y recursos</w:t>
      </w:r>
    </w:p>
    <w:p>
      <w:pPr>
        <w:pStyle w:val="style24"/>
        <w:numPr>
          <w:ilvl w:val="0"/>
          <w:numId w:val="1"/>
        </w:numPr>
        <w:jc w:val="both"/>
      </w:pPr>
      <w:r>
        <w:rPr>
          <w:sz w:val="28"/>
          <w:szCs w:val="28"/>
        </w:rPr>
        <w:t>Descripción general del AVE</w:t>
      </w:r>
    </w:p>
    <w:p>
      <w:pPr>
        <w:pStyle w:val="style24"/>
        <w:numPr>
          <w:ilvl w:val="0"/>
          <w:numId w:val="1"/>
        </w:numPr>
        <w:jc w:val="both"/>
      </w:pPr>
      <w:r>
        <w:rPr>
          <w:sz w:val="28"/>
          <w:szCs w:val="28"/>
        </w:rPr>
        <w:t>El AVE para instituciones</w:t>
      </w:r>
    </w:p>
    <w:p>
      <w:pPr>
        <w:pStyle w:val="style24"/>
        <w:numPr>
          <w:ilvl w:val="0"/>
          <w:numId w:val="1"/>
        </w:numPr>
        <w:jc w:val="both"/>
      </w:pPr>
      <w:r>
        <w:rPr>
          <w:sz w:val="28"/>
          <w:szCs w:val="28"/>
        </w:rPr>
        <w:t>Otras informaciones de interés</w:t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right"/>
      </w:pPr>
      <w:r>
        <w:rPr/>
        <w:drawing>
          <wp:inline distB="0" distL="0" distR="0" distT="0">
            <wp:extent cx="475615" cy="52387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right"/>
      </w:pPr>
      <w:r>
        <w:rPr>
          <w:sz w:val="28"/>
          <w:szCs w:val="28"/>
        </w:rPr>
      </w:r>
    </w:p>
    <w:p>
      <w:pPr>
        <w:pStyle w:val="style0"/>
        <w:jc w:val="right"/>
      </w:pPr>
      <w:r>
        <w:rPr>
          <w:sz w:val="28"/>
          <w:szCs w:val="28"/>
        </w:rPr>
        <w:t>Eduardo Domínguez</w:t>
      </w:r>
    </w:p>
    <w:p>
      <w:pPr>
        <w:pStyle w:val="style0"/>
        <w:jc w:val="right"/>
      </w:pPr>
      <w:r>
        <w:rPr>
          <w:sz w:val="28"/>
          <w:szCs w:val="28"/>
        </w:rPr>
        <w:t>Coordinador Académico</w:t>
      </w:r>
    </w:p>
    <w:p>
      <w:pPr>
        <w:pStyle w:val="style0"/>
        <w:jc w:val="right"/>
      </w:pPr>
      <w:r>
        <w:rPr>
          <w:sz w:val="28"/>
          <w:szCs w:val="28"/>
        </w:rPr>
        <w:t>Instituto Cervantes de Palermo</w:t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  <w:font w:name="Calibri">
    <w:charset w:val="80"/>
    <w:family w:val="swiss"/>
    <w:pitch w:val="default"/>
  </w:font>
  <w:font w:name="Courier New">
    <w:charset w:val="80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-"/>
      <w:lvlJc w:val="left"/>
      <w:pPr>
        <w:ind w:hanging="360" w:left="720"/>
      </w:pPr>
      <w:rPr>
        <w:rFonts w:ascii="Calibri" w:cs="Calibri" w:hAnsi="Calibri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Predefinit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Droid Sans Fallback" w:hAnsi="Calibri"/>
      <w:color w:val="auto"/>
      <w:sz w:val="22"/>
      <w:szCs w:val="22"/>
      <w:lang w:bidi="ar-SA" w:eastAsia="en-US" w:val="es-ES"/>
    </w:rPr>
  </w:style>
  <w:style w:styleId="style15" w:type="character">
    <w:name w:val="Default Paragraph Font"/>
    <w:next w:val="style15"/>
    <w:rPr/>
  </w:style>
  <w:style w:styleId="style16" w:type="character">
    <w:name w:val="Testo fumetto Carattere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ListLabel 1"/>
    <w:next w:val="style17"/>
    <w:rPr>
      <w:rFonts w:cs="Calibri"/>
    </w:rPr>
  </w:style>
  <w:style w:styleId="style18" w:type="character">
    <w:name w:val="ListLabel 2"/>
    <w:next w:val="style18"/>
    <w:rPr>
      <w:rFonts w:cs="Courier New"/>
    </w:rPr>
  </w:style>
  <w:style w:styleId="style19" w:type="paragraph">
    <w:name w:val="Intestazione"/>
    <w:basedOn w:val="style0"/>
    <w:next w:val="style20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20" w:type="paragraph">
    <w:name w:val="Corpo testo"/>
    <w:basedOn w:val="style0"/>
    <w:next w:val="style20"/>
    <w:pPr>
      <w:spacing w:after="120" w:before="0"/>
    </w:pPr>
    <w:rPr/>
  </w:style>
  <w:style w:styleId="style21" w:type="paragraph">
    <w:name w:val="Elenco"/>
    <w:basedOn w:val="style20"/>
    <w:next w:val="style21"/>
    <w:pPr/>
    <w:rPr>
      <w:rFonts w:cs="Lohit Hindi"/>
    </w:rPr>
  </w:style>
  <w:style w:styleId="style22" w:type="paragraph">
    <w:name w:val="Didascalia"/>
    <w:basedOn w:val="style0"/>
    <w:next w:val="style22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3" w:type="paragraph">
    <w:name w:val="Indice"/>
    <w:basedOn w:val="style0"/>
    <w:next w:val="style23"/>
    <w:pPr>
      <w:suppressLineNumbers/>
    </w:pPr>
    <w:rPr>
      <w:rFonts w:cs="Lohit Hindi"/>
    </w:rPr>
  </w:style>
  <w:style w:styleId="style24" w:type="paragraph">
    <w:name w:val="List Paragraph"/>
    <w:basedOn w:val="style0"/>
    <w:next w:val="style24"/>
    <w:pPr>
      <w:ind w:hanging="0" w:left="720" w:right="0"/>
    </w:pPr>
    <w:rPr/>
  </w:style>
  <w:style w:styleId="style25" w:type="paragraph">
    <w:name w:val="Balloon Text"/>
    <w:basedOn w:val="style0"/>
    <w:next w:val="style25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2013-02-28T16:47:00.00Z</dcterms:created>
  <dc:creator>Administrador</dc:creator>
  <cp:lastModifiedBy>Utente</cp:lastModifiedBy>
  <dcterms:modified xsi:type="dcterms:W3CDTF">2013-02-28T16:47:00.00Z</dcterms:modified>
  <cp:revision>2</cp:revision>
</cp:coreProperties>
</file>